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E06A8" w14:textId="0A213BC9" w:rsidR="00E203C2" w:rsidRDefault="00E203C2" w:rsidP="00E203C2">
      <w:r>
        <w:rPr>
          <w:noProof/>
          <w:lang w:eastAsia="en-GB" w:bidi="ar-SA"/>
        </w:rPr>
        <w:drawing>
          <wp:inline distT="0" distB="0" distL="0" distR="0" wp14:anchorId="7109181E" wp14:editId="37FF411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FA24176" w14:textId="77777777" w:rsidR="00E203C2" w:rsidRDefault="00E203C2" w:rsidP="00E203C2"/>
    <w:p w14:paraId="2EB60B08" w14:textId="7777777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1E26FC" w:rsidRPr="001E26FC">
        <w:rPr>
          <w:b/>
        </w:rPr>
        <w:t>2</w:t>
      </w:r>
    </w:p>
    <w:p w14:paraId="18D21078" w14:textId="77777777" w:rsidR="00BA24E2" w:rsidRDefault="00BA24E2" w:rsidP="00E203C2"/>
    <w:p w14:paraId="4DCE87E9" w14:textId="267FED23" w:rsidR="00D056F1" w:rsidRPr="00690206" w:rsidRDefault="001E26FC" w:rsidP="00690206">
      <w:pPr>
        <w:pStyle w:val="FSTitle"/>
        <w:rPr>
          <w:color w:val="FF0000"/>
        </w:rPr>
      </w:pPr>
      <w:r w:rsidRPr="006E5A8B">
        <w:rPr>
          <w:i/>
          <w:szCs w:val="32"/>
        </w:rPr>
        <w:t>Australia New Zealand Food Standards Code</w:t>
      </w:r>
      <w:r>
        <w:rPr>
          <w:szCs w:val="32"/>
        </w:rPr>
        <w:t xml:space="preserve"> </w:t>
      </w:r>
      <w:r w:rsidR="000149A8">
        <w:rPr>
          <w:szCs w:val="32"/>
        </w:rPr>
        <w:t xml:space="preserve">requirements </w:t>
      </w:r>
      <w:r>
        <w:t>– Proposal P1034</w:t>
      </w:r>
    </w:p>
    <w:p w14:paraId="0740D7F4" w14:textId="77777777" w:rsidR="00E203C2" w:rsidRPr="00690206" w:rsidRDefault="00E203C2" w:rsidP="00690206"/>
    <w:p w14:paraId="5DA96B1A" w14:textId="77777777" w:rsidR="001E26FC" w:rsidRDefault="001E26FC" w:rsidP="001E26FC">
      <w:pPr>
        <w:rPr>
          <w:sz w:val="32"/>
        </w:rPr>
      </w:pPr>
      <w:r>
        <w:rPr>
          <w:sz w:val="32"/>
        </w:rPr>
        <w:t>Chemical Migration from Packaging into Food</w:t>
      </w:r>
    </w:p>
    <w:p w14:paraId="477EBEE1" w14:textId="77777777" w:rsidR="00E203C2" w:rsidRPr="00B37BF0" w:rsidRDefault="00E203C2" w:rsidP="00E203C2">
      <w:pPr>
        <w:pBdr>
          <w:bottom w:val="single" w:sz="12" w:space="1" w:color="auto"/>
        </w:pBdr>
        <w:spacing w:line="280" w:lineRule="exact"/>
        <w:rPr>
          <w:rFonts w:cs="Arial"/>
          <w:bCs/>
        </w:rPr>
      </w:pPr>
    </w:p>
    <w:p w14:paraId="646D8FEF" w14:textId="77777777" w:rsidR="00E203C2" w:rsidRPr="00B37BF0" w:rsidRDefault="00E203C2" w:rsidP="00E203C2"/>
    <w:p w14:paraId="5A37A7A1" w14:textId="603461ED" w:rsidR="00092CDA" w:rsidRDefault="00216675" w:rsidP="00352CF2">
      <w:pPr>
        <w:pStyle w:val="Heading1"/>
      </w:pPr>
      <w:r>
        <w:t>Overview</w:t>
      </w:r>
    </w:p>
    <w:p w14:paraId="2426A33B" w14:textId="40101653" w:rsidR="001E26FC" w:rsidRDefault="001E26FC" w:rsidP="001E26FC">
      <w:pPr>
        <w:autoSpaceDE w:val="0"/>
        <w:autoSpaceDN w:val="0"/>
        <w:adjustRightInd w:val="0"/>
        <w:rPr>
          <w:rFonts w:cs="Arial"/>
        </w:rPr>
      </w:pPr>
      <w:r>
        <w:rPr>
          <w:rFonts w:cs="Arial"/>
        </w:rPr>
        <w:t>In Australia, the state and territory Food Acts have general provisions for packaging</w:t>
      </w:r>
      <w:r w:rsidR="00D40C77">
        <w:rPr>
          <w:rFonts w:cs="Arial"/>
        </w:rPr>
        <w:t>,</w:t>
      </w:r>
      <w:r>
        <w:rPr>
          <w:rFonts w:cs="Arial"/>
        </w:rPr>
        <w:t xml:space="preserve"> and food businesses are required to ensure that packaging is safe. Food businesses must also comply with requirements in the Code (see SD1).</w:t>
      </w:r>
    </w:p>
    <w:p w14:paraId="7950DCCE" w14:textId="77777777" w:rsidR="001E26FC" w:rsidRDefault="001E26FC" w:rsidP="001E26FC">
      <w:pPr>
        <w:autoSpaceDE w:val="0"/>
        <w:autoSpaceDN w:val="0"/>
        <w:adjustRightInd w:val="0"/>
        <w:rPr>
          <w:rFonts w:cs="Arial"/>
        </w:rPr>
      </w:pPr>
    </w:p>
    <w:p w14:paraId="13FB50A4" w14:textId="6AB22198" w:rsidR="001E26FC" w:rsidRDefault="001E26FC" w:rsidP="001E26FC">
      <w:pPr>
        <w:autoSpaceDE w:val="0"/>
        <w:autoSpaceDN w:val="0"/>
        <w:adjustRightInd w:val="0"/>
        <w:rPr>
          <w:rFonts w:cs="Arial"/>
          <w:i/>
          <w:iCs/>
        </w:rPr>
      </w:pPr>
      <w:r>
        <w:rPr>
          <w:rFonts w:cs="Arial"/>
        </w:rPr>
        <w:t xml:space="preserve">In New Zealand, there is no approval system for packaging materials under the </w:t>
      </w:r>
      <w:r>
        <w:rPr>
          <w:rFonts w:cs="Arial"/>
          <w:i/>
          <w:iCs/>
        </w:rPr>
        <w:t>Food Act</w:t>
      </w:r>
      <w:r w:rsidR="00216675">
        <w:rPr>
          <w:rFonts w:cs="Arial"/>
          <w:i/>
          <w:iCs/>
        </w:rPr>
        <w:t xml:space="preserve"> </w:t>
      </w:r>
      <w:r>
        <w:rPr>
          <w:rFonts w:cs="Arial"/>
          <w:i/>
          <w:iCs/>
        </w:rPr>
        <w:t>2014</w:t>
      </w:r>
      <w:r>
        <w:rPr>
          <w:rFonts w:cs="Arial"/>
        </w:rPr>
        <w:t xml:space="preserve">, although there is a mechanism for adopting a joint food standard. The </w:t>
      </w:r>
      <w:r>
        <w:rPr>
          <w:rFonts w:cs="Arial"/>
          <w:i/>
          <w:iCs/>
        </w:rPr>
        <w:t>Food Act 2014</w:t>
      </w:r>
    </w:p>
    <w:p w14:paraId="0A48BEE6" w14:textId="71E49EEF" w:rsidR="001E26FC" w:rsidRDefault="001E26FC" w:rsidP="006E5A8B">
      <w:pPr>
        <w:autoSpaceDE w:val="0"/>
        <w:autoSpaceDN w:val="0"/>
        <w:adjustRightInd w:val="0"/>
        <w:rPr>
          <w:rFonts w:cs="Arial"/>
        </w:rPr>
      </w:pPr>
      <w:proofErr w:type="gramStart"/>
      <w:r>
        <w:rPr>
          <w:rFonts w:cs="Arial"/>
        </w:rPr>
        <w:t>also</w:t>
      </w:r>
      <w:proofErr w:type="gramEnd"/>
      <w:r>
        <w:rPr>
          <w:rFonts w:cs="Arial"/>
        </w:rPr>
        <w:t xml:space="preserve"> gives the New Zealand Ministry for Primary Industries (MPI) the ability to issue a</w:t>
      </w:r>
      <w:r w:rsidR="00216675">
        <w:rPr>
          <w:rFonts w:cs="Arial"/>
        </w:rPr>
        <w:t xml:space="preserve"> </w:t>
      </w:r>
      <w:r>
        <w:rPr>
          <w:rFonts w:cs="Arial"/>
        </w:rPr>
        <w:t>comprehensive range of notices relating to specifications or requirements for specific</w:t>
      </w:r>
      <w:r w:rsidR="00216675">
        <w:rPr>
          <w:rFonts w:cs="Arial"/>
        </w:rPr>
        <w:t xml:space="preserve"> </w:t>
      </w:r>
      <w:r>
        <w:rPr>
          <w:rFonts w:cs="Arial"/>
        </w:rPr>
        <w:t>matters. These include, for example, controls, restrictions, requirements and prohibitions in</w:t>
      </w:r>
      <w:r w:rsidR="00216675">
        <w:rPr>
          <w:rFonts w:cs="Arial"/>
        </w:rPr>
        <w:t xml:space="preserve"> </w:t>
      </w:r>
      <w:r>
        <w:rPr>
          <w:rFonts w:cs="Arial"/>
        </w:rPr>
        <w:t>relation to a food sector, including how a food sector must manage or deal with risks that</w:t>
      </w:r>
      <w:r w:rsidR="00216675">
        <w:rPr>
          <w:rFonts w:cs="Arial"/>
        </w:rPr>
        <w:t xml:space="preserve"> </w:t>
      </w:r>
      <w:r>
        <w:rPr>
          <w:rFonts w:cs="Arial"/>
        </w:rPr>
        <w:t>arise from trading in food (see SD1).</w:t>
      </w:r>
    </w:p>
    <w:p w14:paraId="61A540EE" w14:textId="77777777" w:rsidR="009550B8" w:rsidRDefault="009550B8" w:rsidP="006E5A8B">
      <w:pPr>
        <w:autoSpaceDE w:val="0"/>
        <w:autoSpaceDN w:val="0"/>
        <w:adjustRightInd w:val="0"/>
      </w:pPr>
    </w:p>
    <w:p w14:paraId="67EFBDDB" w14:textId="77777777" w:rsidR="00822FAC" w:rsidRDefault="00822FAC" w:rsidP="00216675">
      <w:pPr>
        <w:pStyle w:val="Heading2"/>
        <w:sectPr w:rsidR="00822FAC" w:rsidSect="0054272D">
          <w:footerReference w:type="even" r:id="rId15"/>
          <w:footerReference w:type="default" r:id="rId16"/>
          <w:headerReference w:type="first" r:id="rId17"/>
          <w:pgSz w:w="11906" w:h="16838"/>
          <w:pgMar w:top="1418" w:right="1418" w:bottom="1418" w:left="1418" w:header="709" w:footer="709" w:gutter="0"/>
          <w:pgNumType w:start="1"/>
          <w:cols w:space="708"/>
          <w:docGrid w:linePitch="360"/>
        </w:sectPr>
      </w:pPr>
    </w:p>
    <w:p w14:paraId="272AC313" w14:textId="477ED64A" w:rsidR="001E26FC" w:rsidRPr="00FA5D0A" w:rsidRDefault="001E26FC" w:rsidP="009550B8">
      <w:pPr>
        <w:pStyle w:val="Heading1"/>
      </w:pPr>
      <w:r w:rsidRPr="00654881">
        <w:lastRenderedPageBreak/>
        <w:t xml:space="preserve">Joint </w:t>
      </w:r>
      <w:r w:rsidR="007764D8">
        <w:t>s</w:t>
      </w:r>
      <w:r>
        <w:t>tandards</w:t>
      </w:r>
    </w:p>
    <w:p w14:paraId="12A37B8A" w14:textId="3C4CF15F" w:rsidR="00216675" w:rsidRDefault="001E26FC" w:rsidP="009550B8">
      <w:pPr>
        <w:pStyle w:val="Heading2"/>
      </w:pPr>
      <w:r w:rsidRPr="00654881">
        <w:t xml:space="preserve">Standard 1.1.1 </w:t>
      </w:r>
      <w:r w:rsidR="00216675">
        <w:t>– Structure of the Code and general provisions</w:t>
      </w:r>
    </w:p>
    <w:p w14:paraId="3BB09D81" w14:textId="4FA381E2" w:rsidR="00216675" w:rsidRDefault="001E26FC" w:rsidP="009550B8">
      <w:pPr>
        <w:pStyle w:val="Heading3"/>
        <w:rPr>
          <w:lang w:val="en-AU"/>
        </w:rPr>
      </w:pPr>
      <w:r w:rsidRPr="00B05C26">
        <w:rPr>
          <w:lang w:val="en-AU"/>
        </w:rPr>
        <w:t>Requirements relating to food for sale</w:t>
      </w:r>
    </w:p>
    <w:p w14:paraId="2E8A87F2" w14:textId="5FE36183" w:rsidR="001E26FC" w:rsidRDefault="00216675" w:rsidP="001E26FC">
      <w:pPr>
        <w:pStyle w:val="Default"/>
        <w:rPr>
          <w:sz w:val="22"/>
          <w:szCs w:val="22"/>
          <w:lang w:val="en-AU" w:eastAsia="en-AU"/>
        </w:rPr>
      </w:pPr>
      <w:r>
        <w:rPr>
          <w:sz w:val="22"/>
          <w:szCs w:val="22"/>
          <w:lang w:val="en-AU" w:eastAsia="en-AU"/>
        </w:rPr>
        <w:t>Subsections 1.1.1—</w:t>
      </w:r>
      <w:r w:rsidR="001E26FC">
        <w:rPr>
          <w:sz w:val="22"/>
          <w:szCs w:val="22"/>
          <w:lang w:val="en-AU" w:eastAsia="en-AU"/>
        </w:rPr>
        <w:t xml:space="preserve">10 and </w:t>
      </w:r>
      <w:r>
        <w:rPr>
          <w:sz w:val="22"/>
          <w:szCs w:val="22"/>
          <w:lang w:val="en-AU" w:eastAsia="en-AU"/>
        </w:rPr>
        <w:t>1.1.1—</w:t>
      </w:r>
      <w:r w:rsidR="001E26FC">
        <w:rPr>
          <w:sz w:val="22"/>
          <w:szCs w:val="22"/>
          <w:lang w:val="en-AU" w:eastAsia="en-AU"/>
        </w:rPr>
        <w:t xml:space="preserve">11 contain general information on packaging requirements that apply to all foods:  </w:t>
      </w:r>
    </w:p>
    <w:p w14:paraId="138E12CD" w14:textId="77777777" w:rsidR="001E26FC" w:rsidRDefault="001E26FC" w:rsidP="001E26FC">
      <w:pPr>
        <w:pStyle w:val="Default"/>
        <w:rPr>
          <w:sz w:val="22"/>
          <w:szCs w:val="22"/>
          <w:lang w:val="en-AU" w:eastAsia="en-AU"/>
        </w:rPr>
      </w:pPr>
    </w:p>
    <w:p w14:paraId="4C740BAD" w14:textId="02B2491D" w:rsidR="001E26FC" w:rsidRPr="009550B8" w:rsidRDefault="001E26FC" w:rsidP="006E5A8B">
      <w:pPr>
        <w:pStyle w:val="Default"/>
        <w:ind w:left="851" w:hanging="851"/>
        <w:rPr>
          <w:i/>
          <w:sz w:val="20"/>
          <w:szCs w:val="20"/>
          <w:lang w:val="en-AU" w:eastAsia="en-AU"/>
        </w:rPr>
      </w:pPr>
      <w:r w:rsidRPr="009550B8">
        <w:rPr>
          <w:i/>
          <w:sz w:val="20"/>
          <w:szCs w:val="20"/>
          <w:lang w:val="en-AU" w:eastAsia="en-AU"/>
        </w:rPr>
        <w:t>(10)</w:t>
      </w:r>
      <w:r w:rsidR="00216675" w:rsidRPr="009550B8">
        <w:rPr>
          <w:i/>
          <w:sz w:val="20"/>
          <w:szCs w:val="20"/>
          <w:lang w:val="en-AU" w:eastAsia="en-AU"/>
        </w:rPr>
        <w:tab/>
      </w:r>
      <w:r w:rsidRPr="009550B8">
        <w:rPr>
          <w:i/>
          <w:sz w:val="20"/>
          <w:szCs w:val="20"/>
          <w:lang w:val="en-AU" w:eastAsia="en-AU"/>
        </w:rPr>
        <w:t>If a packaging requirement of this Code applies to the sale of food, the packaging must comply with the requirement.</w:t>
      </w:r>
    </w:p>
    <w:p w14:paraId="1AF0D773" w14:textId="0CAB9A9B" w:rsidR="001E26FC" w:rsidRPr="009550B8" w:rsidRDefault="001E26FC" w:rsidP="006E5A8B">
      <w:pPr>
        <w:pStyle w:val="Default"/>
        <w:ind w:left="851" w:hanging="851"/>
        <w:rPr>
          <w:i/>
          <w:sz w:val="20"/>
          <w:szCs w:val="20"/>
          <w:lang w:val="en-AU" w:eastAsia="en-AU"/>
        </w:rPr>
      </w:pPr>
      <w:r w:rsidRPr="009550B8">
        <w:rPr>
          <w:i/>
          <w:sz w:val="20"/>
          <w:szCs w:val="20"/>
          <w:lang w:val="en-AU" w:eastAsia="en-AU"/>
        </w:rPr>
        <w:t xml:space="preserve">(11) </w:t>
      </w:r>
      <w:r w:rsidR="00216675" w:rsidRPr="009550B8">
        <w:rPr>
          <w:i/>
          <w:sz w:val="20"/>
          <w:szCs w:val="20"/>
          <w:lang w:val="en-AU" w:eastAsia="en-AU"/>
        </w:rPr>
        <w:tab/>
      </w:r>
      <w:r w:rsidRPr="009550B8">
        <w:rPr>
          <w:i/>
          <w:sz w:val="20"/>
          <w:szCs w:val="20"/>
          <w:lang w:val="en-AU" w:eastAsia="en-AU"/>
        </w:rPr>
        <w:t>Any packaging, and any article or material in the packaging or in contact with the food, must not, if taken into the mouth:</w:t>
      </w:r>
    </w:p>
    <w:p w14:paraId="658B6B81" w14:textId="77777777" w:rsidR="00216675" w:rsidRPr="009550B8" w:rsidRDefault="00216675" w:rsidP="006E5A8B">
      <w:pPr>
        <w:pStyle w:val="Default"/>
        <w:ind w:left="851" w:hanging="851"/>
        <w:rPr>
          <w:i/>
          <w:sz w:val="20"/>
          <w:szCs w:val="20"/>
          <w:lang w:val="en-AU" w:eastAsia="en-AU"/>
        </w:rPr>
      </w:pPr>
    </w:p>
    <w:p w14:paraId="248603F6" w14:textId="14F56FE4" w:rsidR="001E26FC" w:rsidRPr="009550B8" w:rsidRDefault="001E26FC" w:rsidP="00216675">
      <w:pPr>
        <w:pStyle w:val="Default"/>
        <w:ind w:left="1418" w:hanging="567"/>
        <w:rPr>
          <w:i/>
          <w:sz w:val="20"/>
          <w:szCs w:val="20"/>
          <w:lang w:val="en-AU" w:eastAsia="en-AU"/>
        </w:rPr>
      </w:pPr>
      <w:r w:rsidRPr="009550B8">
        <w:rPr>
          <w:i/>
          <w:sz w:val="20"/>
          <w:szCs w:val="20"/>
          <w:lang w:val="en-AU" w:eastAsia="en-AU"/>
        </w:rPr>
        <w:t xml:space="preserve">(a) </w:t>
      </w:r>
      <w:r w:rsidR="00216675" w:rsidRPr="009550B8">
        <w:rPr>
          <w:i/>
          <w:sz w:val="20"/>
          <w:szCs w:val="20"/>
          <w:lang w:val="en-AU" w:eastAsia="en-AU"/>
        </w:rPr>
        <w:tab/>
      </w:r>
      <w:proofErr w:type="gramStart"/>
      <w:r w:rsidRPr="009550B8">
        <w:rPr>
          <w:i/>
          <w:sz w:val="20"/>
          <w:szCs w:val="20"/>
          <w:lang w:val="en-AU" w:eastAsia="en-AU"/>
        </w:rPr>
        <w:t>be</w:t>
      </w:r>
      <w:proofErr w:type="gramEnd"/>
      <w:r w:rsidRPr="009550B8">
        <w:rPr>
          <w:i/>
          <w:sz w:val="20"/>
          <w:szCs w:val="20"/>
          <w:lang w:val="en-AU" w:eastAsia="en-AU"/>
        </w:rPr>
        <w:t xml:space="preserve"> capable of being swallowed or obstructing any alimentary or respiratory passage; or</w:t>
      </w:r>
    </w:p>
    <w:p w14:paraId="4452BC26" w14:textId="6B79D727" w:rsidR="001E26FC" w:rsidRPr="009550B8" w:rsidRDefault="001E26FC" w:rsidP="00216675">
      <w:pPr>
        <w:pStyle w:val="Default"/>
        <w:ind w:left="1418" w:hanging="567"/>
        <w:rPr>
          <w:i/>
          <w:sz w:val="20"/>
          <w:szCs w:val="20"/>
          <w:lang w:val="en-AU" w:eastAsia="en-AU"/>
        </w:rPr>
      </w:pPr>
      <w:r w:rsidRPr="009550B8">
        <w:rPr>
          <w:i/>
          <w:sz w:val="20"/>
          <w:szCs w:val="20"/>
          <w:lang w:val="en-AU" w:eastAsia="en-AU"/>
        </w:rPr>
        <w:t xml:space="preserve">(b) </w:t>
      </w:r>
      <w:r w:rsidR="00216675" w:rsidRPr="009550B8">
        <w:rPr>
          <w:i/>
          <w:sz w:val="20"/>
          <w:szCs w:val="20"/>
          <w:lang w:val="en-AU" w:eastAsia="en-AU"/>
        </w:rPr>
        <w:tab/>
      </w:r>
      <w:proofErr w:type="gramStart"/>
      <w:r w:rsidRPr="009550B8">
        <w:rPr>
          <w:i/>
          <w:sz w:val="20"/>
          <w:szCs w:val="20"/>
          <w:lang w:val="en-AU" w:eastAsia="en-AU"/>
        </w:rPr>
        <w:t>be</w:t>
      </w:r>
      <w:proofErr w:type="gramEnd"/>
      <w:r w:rsidRPr="009550B8">
        <w:rPr>
          <w:i/>
          <w:sz w:val="20"/>
          <w:szCs w:val="20"/>
          <w:lang w:val="en-AU" w:eastAsia="en-AU"/>
        </w:rPr>
        <w:t xml:space="preserve"> otherwise likely to cause bodily harm, distress or discomfort.</w:t>
      </w:r>
    </w:p>
    <w:p w14:paraId="66A96514" w14:textId="77777777" w:rsidR="00216675" w:rsidRPr="009550B8" w:rsidRDefault="00216675" w:rsidP="001E26FC">
      <w:pPr>
        <w:pStyle w:val="Default"/>
        <w:ind w:left="1418" w:hanging="992"/>
        <w:rPr>
          <w:b/>
          <w:i/>
          <w:sz w:val="20"/>
          <w:szCs w:val="20"/>
          <w:lang w:val="en-AU" w:eastAsia="en-AU"/>
        </w:rPr>
      </w:pPr>
    </w:p>
    <w:p w14:paraId="3508D818" w14:textId="77777777" w:rsidR="001E26FC" w:rsidRPr="009550B8" w:rsidRDefault="001E26FC" w:rsidP="006E5A8B">
      <w:pPr>
        <w:pStyle w:val="Default"/>
        <w:ind w:left="851"/>
        <w:rPr>
          <w:i/>
          <w:sz w:val="20"/>
          <w:szCs w:val="20"/>
          <w:lang w:val="en-AU" w:eastAsia="en-AU"/>
        </w:rPr>
      </w:pPr>
      <w:r w:rsidRPr="009550B8">
        <w:rPr>
          <w:b/>
          <w:sz w:val="20"/>
          <w:szCs w:val="20"/>
          <w:lang w:val="en-AU" w:eastAsia="en-AU"/>
        </w:rPr>
        <w:t>Example</w:t>
      </w:r>
      <w:r w:rsidRPr="009550B8">
        <w:rPr>
          <w:i/>
          <w:sz w:val="20"/>
          <w:szCs w:val="20"/>
          <w:lang w:val="en-AU" w:eastAsia="en-AU"/>
        </w:rPr>
        <w:t xml:space="preserve"> Articles or materials include any materials in contact with food, including packaging materials that contain other items such as moisture absorbers, mould inhibitors, oxygen absorbers, promotional materials, writing or other graphics.</w:t>
      </w:r>
    </w:p>
    <w:p w14:paraId="527DCA97" w14:textId="6681CAE9" w:rsidR="00216675" w:rsidRDefault="001E26FC" w:rsidP="009550B8">
      <w:pPr>
        <w:pStyle w:val="Heading2"/>
        <w:ind w:left="0" w:firstLine="0"/>
      </w:pPr>
      <w:r>
        <w:t xml:space="preserve">Standard 1.4.1 – Contaminants and </w:t>
      </w:r>
      <w:r w:rsidR="00216675">
        <w:t>n</w:t>
      </w:r>
      <w:r>
        <w:t xml:space="preserve">atural </w:t>
      </w:r>
      <w:r w:rsidR="00216675">
        <w:t>t</w:t>
      </w:r>
      <w:r>
        <w:t xml:space="preserve">oxicants </w:t>
      </w:r>
      <w:r w:rsidR="00216675">
        <w:t>and Schedule 19 – Maximum levels of contaminants and natural toxicants</w:t>
      </w:r>
    </w:p>
    <w:p w14:paraId="33BC29C5" w14:textId="4782DF29" w:rsidR="001E26FC" w:rsidRDefault="00216675" w:rsidP="001E26FC">
      <w:pPr>
        <w:pStyle w:val="Default"/>
        <w:rPr>
          <w:sz w:val="22"/>
          <w:szCs w:val="22"/>
        </w:rPr>
      </w:pPr>
      <w:r>
        <w:rPr>
          <w:sz w:val="22"/>
          <w:szCs w:val="22"/>
        </w:rPr>
        <w:t>The Standard and relate</w:t>
      </w:r>
      <w:r w:rsidR="006E5A8B">
        <w:rPr>
          <w:sz w:val="22"/>
          <w:szCs w:val="22"/>
        </w:rPr>
        <w:t>d</w:t>
      </w:r>
      <w:r>
        <w:rPr>
          <w:sz w:val="22"/>
          <w:szCs w:val="22"/>
        </w:rPr>
        <w:t xml:space="preserve"> Schedule </w:t>
      </w:r>
      <w:r w:rsidR="001E26FC">
        <w:rPr>
          <w:sz w:val="22"/>
          <w:szCs w:val="22"/>
        </w:rPr>
        <w:t>provide a mechanism for FSANZ to regulate specific chemical</w:t>
      </w:r>
      <w:r w:rsidR="00CD4849">
        <w:rPr>
          <w:sz w:val="22"/>
          <w:szCs w:val="22"/>
        </w:rPr>
        <w:t>s which can</w:t>
      </w:r>
      <w:r w:rsidR="001E26FC">
        <w:rPr>
          <w:sz w:val="22"/>
          <w:szCs w:val="22"/>
        </w:rPr>
        <w:t xml:space="preserve"> migrate from packaging that may pose a risk to human health and safety. The </w:t>
      </w:r>
      <w:r>
        <w:rPr>
          <w:sz w:val="22"/>
          <w:szCs w:val="22"/>
        </w:rPr>
        <w:t xml:space="preserve">Schedule </w:t>
      </w:r>
      <w:r w:rsidR="001E26FC">
        <w:rPr>
          <w:sz w:val="22"/>
          <w:szCs w:val="22"/>
        </w:rPr>
        <w:t>includes a number of maximum levels (MLs) for chemicals associated with migration from packaging, including vinyl chloride, tin</w:t>
      </w:r>
      <w:r w:rsidR="00CD4849">
        <w:rPr>
          <w:sz w:val="22"/>
          <w:szCs w:val="22"/>
        </w:rPr>
        <w:t xml:space="preserve"> and</w:t>
      </w:r>
      <w:r w:rsidR="001E26FC">
        <w:rPr>
          <w:sz w:val="22"/>
          <w:szCs w:val="22"/>
        </w:rPr>
        <w:t xml:space="preserve"> acrylonitrile</w:t>
      </w:r>
      <w:r w:rsidR="00CD4849">
        <w:rPr>
          <w:sz w:val="22"/>
          <w:szCs w:val="22"/>
        </w:rPr>
        <w:t>.</w:t>
      </w:r>
      <w:r w:rsidR="001E26FC">
        <w:rPr>
          <w:sz w:val="22"/>
          <w:szCs w:val="22"/>
        </w:rPr>
        <w:t xml:space="preserve"> </w:t>
      </w:r>
    </w:p>
    <w:p w14:paraId="2D369B48" w14:textId="06DD4BBF" w:rsidR="00216675" w:rsidRDefault="001E26FC" w:rsidP="009550B8">
      <w:pPr>
        <w:pStyle w:val="Heading2"/>
      </w:pPr>
      <w:r>
        <w:t>Standard 2.6.2 – Non-</w:t>
      </w:r>
      <w:r w:rsidR="007764D8">
        <w:t>a</w:t>
      </w:r>
      <w:r>
        <w:t xml:space="preserve">lcoholic </w:t>
      </w:r>
      <w:r w:rsidR="007764D8">
        <w:t>b</w:t>
      </w:r>
      <w:r>
        <w:t xml:space="preserve">everages and </w:t>
      </w:r>
      <w:r w:rsidR="007764D8">
        <w:t>b</w:t>
      </w:r>
      <w:r>
        <w:t xml:space="preserve">rewed </w:t>
      </w:r>
      <w:r w:rsidR="007764D8">
        <w:t>s</w:t>
      </w:r>
      <w:r>
        <w:t xml:space="preserve">oft </w:t>
      </w:r>
      <w:r w:rsidR="007764D8">
        <w:t>d</w:t>
      </w:r>
      <w:r>
        <w:t xml:space="preserve">rinks </w:t>
      </w:r>
    </w:p>
    <w:p w14:paraId="51B2ECC9" w14:textId="3C6F87E9" w:rsidR="007764D8" w:rsidRDefault="007764D8" w:rsidP="001E26FC">
      <w:pPr>
        <w:pStyle w:val="Default"/>
        <w:rPr>
          <w:sz w:val="22"/>
          <w:szCs w:val="22"/>
        </w:rPr>
      </w:pPr>
      <w:r>
        <w:rPr>
          <w:sz w:val="22"/>
          <w:szCs w:val="22"/>
        </w:rPr>
        <w:t xml:space="preserve">Subsection 2.6.2—3 </w:t>
      </w:r>
      <w:proofErr w:type="gramStart"/>
      <w:r>
        <w:rPr>
          <w:sz w:val="22"/>
          <w:szCs w:val="22"/>
        </w:rPr>
        <w:t>requires</w:t>
      </w:r>
      <w:proofErr w:type="gramEnd"/>
      <w:r>
        <w:rPr>
          <w:sz w:val="22"/>
          <w:szCs w:val="22"/>
        </w:rPr>
        <w:t xml:space="preserve"> that packaged water meets the </w:t>
      </w:r>
      <w:r w:rsidR="00822FAC">
        <w:rPr>
          <w:sz w:val="22"/>
          <w:szCs w:val="22"/>
        </w:rPr>
        <w:t>World Health Organisation (</w:t>
      </w:r>
      <w:r>
        <w:rPr>
          <w:sz w:val="22"/>
          <w:szCs w:val="22"/>
        </w:rPr>
        <w:t>WHO</w:t>
      </w:r>
      <w:r w:rsidR="00822FAC">
        <w:rPr>
          <w:sz w:val="22"/>
          <w:szCs w:val="22"/>
        </w:rPr>
        <w:t>)</w:t>
      </w:r>
      <w:r>
        <w:rPr>
          <w:sz w:val="22"/>
          <w:szCs w:val="22"/>
        </w:rPr>
        <w:t xml:space="preserve"> drinking water guidelines (WHO, 2011)</w:t>
      </w:r>
      <w:r w:rsidR="006E5A8B">
        <w:rPr>
          <w:sz w:val="22"/>
          <w:szCs w:val="22"/>
        </w:rPr>
        <w:t xml:space="preserve"> </w:t>
      </w:r>
      <w:r w:rsidR="001E26FC">
        <w:rPr>
          <w:sz w:val="22"/>
          <w:szCs w:val="22"/>
        </w:rPr>
        <w:t xml:space="preserve">requirements for maximum levels of chemicals </w:t>
      </w:r>
      <w:r>
        <w:rPr>
          <w:sz w:val="22"/>
          <w:szCs w:val="22"/>
        </w:rPr>
        <w:t>(other than fluoride)</w:t>
      </w:r>
      <w:r w:rsidR="001E26FC">
        <w:rPr>
          <w:sz w:val="22"/>
          <w:szCs w:val="22"/>
        </w:rPr>
        <w:t xml:space="preserve">. </w:t>
      </w:r>
    </w:p>
    <w:p w14:paraId="1BB8D5FC" w14:textId="77777777" w:rsidR="009550B8" w:rsidRDefault="009550B8" w:rsidP="001E26FC">
      <w:pPr>
        <w:pStyle w:val="Default"/>
        <w:rPr>
          <w:sz w:val="22"/>
          <w:szCs w:val="22"/>
        </w:rPr>
      </w:pPr>
    </w:p>
    <w:p w14:paraId="701BA848" w14:textId="09109079" w:rsidR="001E26FC" w:rsidRDefault="001E26FC" w:rsidP="009550B8">
      <w:pPr>
        <w:pStyle w:val="Heading1"/>
      </w:pPr>
      <w:r>
        <w:t>Australia</w:t>
      </w:r>
      <w:r w:rsidR="007764D8">
        <w:t xml:space="preserve"> </w:t>
      </w:r>
      <w:r>
        <w:t>only standards</w:t>
      </w:r>
    </w:p>
    <w:p w14:paraId="0E943D17" w14:textId="77777777" w:rsidR="007764D8" w:rsidRDefault="001E26FC" w:rsidP="009550B8">
      <w:pPr>
        <w:pStyle w:val="Heading2"/>
      </w:pPr>
      <w:proofErr w:type="gramStart"/>
      <w:r>
        <w:t>Standard 3.2.2 – Food Safety Practices and General Requirements.</w:t>
      </w:r>
      <w:proofErr w:type="gramEnd"/>
      <w:r>
        <w:t xml:space="preserve"> </w:t>
      </w:r>
    </w:p>
    <w:p w14:paraId="7013D67A" w14:textId="71BD1F1F" w:rsidR="001E26FC" w:rsidRDefault="001E26FC" w:rsidP="001E26FC">
      <w:pPr>
        <w:pStyle w:val="Default"/>
        <w:rPr>
          <w:sz w:val="22"/>
          <w:szCs w:val="22"/>
        </w:rPr>
      </w:pPr>
      <w:r w:rsidRPr="00B841AA">
        <w:rPr>
          <w:bCs/>
          <w:sz w:val="22"/>
          <w:szCs w:val="22"/>
        </w:rPr>
        <w:t xml:space="preserve">Clause 9 </w:t>
      </w:r>
      <w:r w:rsidR="007764D8">
        <w:rPr>
          <w:sz w:val="22"/>
          <w:szCs w:val="22"/>
        </w:rPr>
        <w:t xml:space="preserve">sets out </w:t>
      </w:r>
      <w:r>
        <w:rPr>
          <w:sz w:val="22"/>
          <w:szCs w:val="22"/>
        </w:rPr>
        <w:t xml:space="preserve">requirements </w:t>
      </w:r>
      <w:r w:rsidR="007764D8">
        <w:rPr>
          <w:sz w:val="22"/>
          <w:szCs w:val="22"/>
        </w:rPr>
        <w:t>for</w:t>
      </w:r>
      <w:r>
        <w:rPr>
          <w:sz w:val="22"/>
          <w:szCs w:val="22"/>
        </w:rPr>
        <w:t xml:space="preserve"> food businesses (including manufacturers, importers and retailers) in Australia, whereby a food business must, when packaging food:</w:t>
      </w:r>
    </w:p>
    <w:p w14:paraId="4417FDFB" w14:textId="77777777" w:rsidR="001E26FC" w:rsidRDefault="001E26FC" w:rsidP="001E26FC">
      <w:pPr>
        <w:pStyle w:val="Default"/>
        <w:rPr>
          <w:sz w:val="22"/>
          <w:szCs w:val="22"/>
        </w:rPr>
      </w:pPr>
    </w:p>
    <w:p w14:paraId="6777632B" w14:textId="70B8CA2E" w:rsidR="001E26FC" w:rsidRDefault="001E26FC" w:rsidP="007764D8">
      <w:pPr>
        <w:pStyle w:val="Default"/>
        <w:ind w:left="567" w:hanging="567"/>
        <w:rPr>
          <w:color w:val="auto"/>
          <w:sz w:val="22"/>
          <w:szCs w:val="22"/>
        </w:rPr>
      </w:pPr>
      <w:r>
        <w:rPr>
          <w:color w:val="auto"/>
          <w:sz w:val="22"/>
          <w:szCs w:val="22"/>
        </w:rPr>
        <w:t xml:space="preserve">(a) </w:t>
      </w:r>
      <w:r w:rsidR="007764D8">
        <w:rPr>
          <w:color w:val="auto"/>
          <w:sz w:val="22"/>
          <w:szCs w:val="22"/>
        </w:rPr>
        <w:tab/>
      </w:r>
      <w:proofErr w:type="gramStart"/>
      <w:r>
        <w:rPr>
          <w:color w:val="auto"/>
          <w:sz w:val="22"/>
          <w:szCs w:val="22"/>
        </w:rPr>
        <w:t>only</w:t>
      </w:r>
      <w:proofErr w:type="gramEnd"/>
      <w:r>
        <w:rPr>
          <w:color w:val="auto"/>
          <w:sz w:val="22"/>
          <w:szCs w:val="22"/>
        </w:rPr>
        <w:t xml:space="preserve"> use packaging material that is fit for its intended use; </w:t>
      </w:r>
    </w:p>
    <w:p w14:paraId="6A24526B" w14:textId="70244CE5" w:rsidR="001E26FC" w:rsidRDefault="001E26FC" w:rsidP="007764D8">
      <w:pPr>
        <w:pStyle w:val="Default"/>
        <w:ind w:left="567" w:hanging="567"/>
        <w:rPr>
          <w:color w:val="auto"/>
          <w:sz w:val="22"/>
          <w:szCs w:val="22"/>
        </w:rPr>
      </w:pPr>
      <w:r>
        <w:rPr>
          <w:color w:val="auto"/>
          <w:sz w:val="22"/>
          <w:szCs w:val="22"/>
        </w:rPr>
        <w:t xml:space="preserve">(b) </w:t>
      </w:r>
      <w:r w:rsidR="007764D8">
        <w:rPr>
          <w:color w:val="auto"/>
          <w:sz w:val="22"/>
          <w:szCs w:val="22"/>
        </w:rPr>
        <w:tab/>
      </w:r>
      <w:proofErr w:type="gramStart"/>
      <w:r>
        <w:rPr>
          <w:color w:val="auto"/>
          <w:sz w:val="22"/>
          <w:szCs w:val="22"/>
        </w:rPr>
        <w:t>only</w:t>
      </w:r>
      <w:proofErr w:type="gramEnd"/>
      <w:r>
        <w:rPr>
          <w:color w:val="auto"/>
          <w:sz w:val="22"/>
          <w:szCs w:val="22"/>
        </w:rPr>
        <w:t xml:space="preserve"> use material that is not likely to cause food contamination; and </w:t>
      </w:r>
    </w:p>
    <w:p w14:paraId="0E7ABEFF" w14:textId="440D9A8F" w:rsidR="001E26FC" w:rsidRDefault="001E26FC" w:rsidP="007764D8">
      <w:pPr>
        <w:pStyle w:val="Default"/>
        <w:ind w:left="567" w:hanging="567"/>
        <w:rPr>
          <w:color w:val="auto"/>
          <w:sz w:val="22"/>
          <w:szCs w:val="22"/>
        </w:rPr>
      </w:pPr>
      <w:r>
        <w:rPr>
          <w:color w:val="auto"/>
          <w:sz w:val="22"/>
          <w:szCs w:val="22"/>
        </w:rPr>
        <w:t xml:space="preserve">(c) </w:t>
      </w:r>
      <w:r w:rsidR="007764D8">
        <w:rPr>
          <w:color w:val="auto"/>
          <w:sz w:val="22"/>
          <w:szCs w:val="22"/>
        </w:rPr>
        <w:tab/>
      </w:r>
      <w:proofErr w:type="gramStart"/>
      <w:r>
        <w:rPr>
          <w:color w:val="auto"/>
          <w:sz w:val="22"/>
          <w:szCs w:val="22"/>
        </w:rPr>
        <w:t>ensure</w:t>
      </w:r>
      <w:proofErr w:type="gramEnd"/>
      <w:r>
        <w:rPr>
          <w:color w:val="auto"/>
          <w:sz w:val="22"/>
          <w:szCs w:val="22"/>
        </w:rPr>
        <w:t xml:space="preserve"> that there is no likelihood that the food may become contaminated during the packaging process. </w:t>
      </w:r>
    </w:p>
    <w:p w14:paraId="15FDF43D" w14:textId="77777777" w:rsidR="001E26FC" w:rsidRDefault="001E26FC" w:rsidP="001E26FC">
      <w:pPr>
        <w:pStyle w:val="Default"/>
        <w:rPr>
          <w:color w:val="auto"/>
          <w:sz w:val="22"/>
          <w:szCs w:val="22"/>
        </w:rPr>
      </w:pPr>
    </w:p>
    <w:p w14:paraId="4A8F7318" w14:textId="77777777" w:rsidR="001E26FC" w:rsidRDefault="001E26FC" w:rsidP="001E26FC">
      <w:pPr>
        <w:pStyle w:val="Default"/>
        <w:rPr>
          <w:color w:val="auto"/>
          <w:sz w:val="22"/>
          <w:szCs w:val="22"/>
        </w:rPr>
      </w:pPr>
      <w:r>
        <w:rPr>
          <w:color w:val="auto"/>
          <w:sz w:val="22"/>
          <w:szCs w:val="22"/>
        </w:rPr>
        <w:t>A detailed guide to Standard 3.2.2, Safe Food Australia: A guide to the food safety standards is available through the FSANZ website. This guide is currently being revised</w:t>
      </w:r>
      <w:r>
        <w:rPr>
          <w:rStyle w:val="FootnoteReference"/>
          <w:color w:val="auto"/>
          <w:sz w:val="22"/>
          <w:szCs w:val="22"/>
        </w:rPr>
        <w:footnoteReference w:id="1"/>
      </w:r>
      <w:r>
        <w:rPr>
          <w:color w:val="auto"/>
          <w:sz w:val="22"/>
          <w:szCs w:val="22"/>
        </w:rPr>
        <w:t xml:space="preserve"> and will include updated information on packaging requirements for food businesses.</w:t>
      </w:r>
    </w:p>
    <w:p w14:paraId="323440CA" w14:textId="1D8E17A6" w:rsidR="009550B8" w:rsidRDefault="009550B8" w:rsidP="001E26FC">
      <w:pPr>
        <w:pStyle w:val="Default"/>
        <w:rPr>
          <w:b/>
          <w:bCs/>
          <w:color w:val="auto"/>
          <w:sz w:val="22"/>
          <w:szCs w:val="22"/>
        </w:rPr>
      </w:pPr>
      <w:r>
        <w:rPr>
          <w:b/>
          <w:bCs/>
          <w:color w:val="auto"/>
          <w:sz w:val="22"/>
          <w:szCs w:val="22"/>
        </w:rPr>
        <w:br w:type="page"/>
      </w:r>
    </w:p>
    <w:p w14:paraId="069CD07C" w14:textId="2E56E136" w:rsidR="007764D8" w:rsidRDefault="001E26FC" w:rsidP="009550B8">
      <w:pPr>
        <w:pStyle w:val="Heading2"/>
        <w:rPr>
          <w:lang w:val="en-AU" w:eastAsia="en-AU"/>
        </w:rPr>
      </w:pPr>
      <w:proofErr w:type="gramStart"/>
      <w:r w:rsidRPr="00B841AA">
        <w:lastRenderedPageBreak/>
        <w:t xml:space="preserve">Standard 4.2.1 </w:t>
      </w:r>
      <w:r w:rsidR="007764D8">
        <w:t>–</w:t>
      </w:r>
      <w:r w:rsidRPr="00B841AA">
        <w:t xml:space="preserve"> </w:t>
      </w:r>
      <w:r w:rsidRPr="00B841AA">
        <w:rPr>
          <w:lang w:val="en-AU" w:eastAsia="en-AU"/>
        </w:rPr>
        <w:t>Primary Production and Processing Standard for Seafood</w:t>
      </w:r>
      <w:r>
        <w:rPr>
          <w:lang w:val="en-AU" w:eastAsia="en-AU"/>
        </w:rPr>
        <w:t>.</w:t>
      </w:r>
      <w:proofErr w:type="gramEnd"/>
      <w:r>
        <w:rPr>
          <w:lang w:val="en-AU" w:eastAsia="en-AU"/>
        </w:rPr>
        <w:t xml:space="preserve"> </w:t>
      </w:r>
    </w:p>
    <w:p w14:paraId="2105CF52" w14:textId="7B0FDC9D" w:rsidR="001E26FC" w:rsidRDefault="001E26FC" w:rsidP="001E26FC">
      <w:pPr>
        <w:pStyle w:val="Default"/>
        <w:rPr>
          <w:sz w:val="22"/>
          <w:szCs w:val="22"/>
          <w:lang w:val="en-AU" w:eastAsia="en-AU"/>
        </w:rPr>
      </w:pPr>
      <w:r>
        <w:rPr>
          <w:sz w:val="22"/>
          <w:szCs w:val="22"/>
          <w:lang w:val="en-AU" w:eastAsia="en-AU"/>
        </w:rPr>
        <w:t xml:space="preserve">Clause 8 details requirements </w:t>
      </w:r>
      <w:r w:rsidR="007764D8">
        <w:rPr>
          <w:sz w:val="22"/>
          <w:szCs w:val="22"/>
          <w:lang w:val="en-AU" w:eastAsia="en-AU"/>
        </w:rPr>
        <w:t xml:space="preserve">for </w:t>
      </w:r>
      <w:r>
        <w:rPr>
          <w:sz w:val="22"/>
          <w:szCs w:val="22"/>
          <w:lang w:val="en-AU" w:eastAsia="en-AU"/>
        </w:rPr>
        <w:t xml:space="preserve">seafood businesses (i.e. </w:t>
      </w:r>
      <w:r w:rsidRPr="00B841AA">
        <w:rPr>
          <w:sz w:val="22"/>
          <w:szCs w:val="22"/>
          <w:lang w:val="en-AU" w:eastAsia="en-AU"/>
        </w:rPr>
        <w:t xml:space="preserve">a business, enterprise or activity </w:t>
      </w:r>
      <w:r>
        <w:rPr>
          <w:sz w:val="22"/>
          <w:szCs w:val="22"/>
          <w:lang w:val="en-AU" w:eastAsia="en-AU"/>
        </w:rPr>
        <w:t xml:space="preserve">that </w:t>
      </w:r>
      <w:r w:rsidRPr="00B841AA">
        <w:rPr>
          <w:sz w:val="22"/>
          <w:szCs w:val="22"/>
          <w:lang w:val="en-AU" w:eastAsia="en-AU"/>
        </w:rPr>
        <w:t>involves the primary production of seafood intended for sale</w:t>
      </w:r>
      <w:r>
        <w:rPr>
          <w:sz w:val="22"/>
          <w:szCs w:val="22"/>
          <w:lang w:val="en-AU" w:eastAsia="en-AU"/>
        </w:rPr>
        <w:t>) which must, when packaging seafood:</w:t>
      </w:r>
    </w:p>
    <w:p w14:paraId="415B851D" w14:textId="77777777" w:rsidR="007764D8" w:rsidRPr="00B841AA" w:rsidRDefault="007764D8" w:rsidP="001E26FC">
      <w:pPr>
        <w:pStyle w:val="Default"/>
        <w:rPr>
          <w:bCs/>
          <w:color w:val="auto"/>
          <w:sz w:val="22"/>
          <w:szCs w:val="22"/>
        </w:rPr>
      </w:pPr>
    </w:p>
    <w:p w14:paraId="76EF46BE" w14:textId="47C958F8" w:rsidR="001E26FC" w:rsidRPr="009550B8" w:rsidRDefault="001E26FC" w:rsidP="007764D8">
      <w:pPr>
        <w:pStyle w:val="Default"/>
        <w:ind w:left="567" w:hanging="567"/>
        <w:rPr>
          <w:bCs/>
          <w:i/>
          <w:color w:val="auto"/>
          <w:sz w:val="20"/>
          <w:szCs w:val="22"/>
        </w:rPr>
      </w:pPr>
      <w:r w:rsidRPr="009550B8">
        <w:rPr>
          <w:bCs/>
          <w:i/>
          <w:color w:val="auto"/>
          <w:sz w:val="20"/>
          <w:szCs w:val="22"/>
        </w:rPr>
        <w:t xml:space="preserve">(a) </w:t>
      </w:r>
      <w:r w:rsidR="007764D8" w:rsidRPr="009550B8">
        <w:rPr>
          <w:bCs/>
          <w:i/>
          <w:color w:val="auto"/>
          <w:sz w:val="20"/>
          <w:szCs w:val="22"/>
        </w:rPr>
        <w:tab/>
      </w:r>
      <w:proofErr w:type="gramStart"/>
      <w:r w:rsidRPr="009550B8">
        <w:rPr>
          <w:bCs/>
          <w:i/>
          <w:color w:val="auto"/>
          <w:sz w:val="20"/>
          <w:szCs w:val="22"/>
        </w:rPr>
        <w:t>only</w:t>
      </w:r>
      <w:proofErr w:type="gramEnd"/>
      <w:r w:rsidRPr="009550B8">
        <w:rPr>
          <w:bCs/>
          <w:i/>
          <w:color w:val="auto"/>
          <w:sz w:val="20"/>
          <w:szCs w:val="22"/>
        </w:rPr>
        <w:t xml:space="preserve"> use packaging material that is fit for its intended use; and</w:t>
      </w:r>
    </w:p>
    <w:p w14:paraId="5479CB94" w14:textId="65028FF7" w:rsidR="001E26FC" w:rsidRPr="009550B8" w:rsidRDefault="001E26FC" w:rsidP="007764D8">
      <w:pPr>
        <w:pStyle w:val="Default"/>
        <w:ind w:left="567" w:hanging="567"/>
        <w:rPr>
          <w:bCs/>
          <w:i/>
          <w:color w:val="auto"/>
          <w:sz w:val="20"/>
          <w:szCs w:val="22"/>
        </w:rPr>
      </w:pPr>
      <w:r w:rsidRPr="009550B8">
        <w:rPr>
          <w:bCs/>
          <w:i/>
          <w:color w:val="auto"/>
          <w:sz w:val="20"/>
          <w:szCs w:val="22"/>
        </w:rPr>
        <w:t xml:space="preserve">(b) </w:t>
      </w:r>
      <w:r w:rsidR="007764D8" w:rsidRPr="009550B8">
        <w:rPr>
          <w:bCs/>
          <w:i/>
          <w:color w:val="auto"/>
          <w:sz w:val="20"/>
          <w:szCs w:val="22"/>
        </w:rPr>
        <w:tab/>
      </w:r>
      <w:proofErr w:type="gramStart"/>
      <w:r w:rsidRPr="009550B8">
        <w:rPr>
          <w:bCs/>
          <w:i/>
          <w:color w:val="auto"/>
          <w:sz w:val="20"/>
          <w:szCs w:val="22"/>
        </w:rPr>
        <w:t>only</w:t>
      </w:r>
      <w:proofErr w:type="gramEnd"/>
      <w:r w:rsidRPr="009550B8">
        <w:rPr>
          <w:bCs/>
          <w:i/>
          <w:color w:val="auto"/>
          <w:sz w:val="20"/>
          <w:szCs w:val="22"/>
        </w:rPr>
        <w:t xml:space="preserve"> use packaging material that is not likely to cause contamination of the seafood; and</w:t>
      </w:r>
    </w:p>
    <w:p w14:paraId="5F83BD76" w14:textId="1612A5AF" w:rsidR="001E26FC" w:rsidRPr="009550B8" w:rsidRDefault="001E26FC" w:rsidP="007764D8">
      <w:pPr>
        <w:pStyle w:val="Default"/>
        <w:ind w:left="567" w:hanging="567"/>
        <w:rPr>
          <w:bCs/>
          <w:i/>
          <w:color w:val="auto"/>
          <w:sz w:val="20"/>
          <w:szCs w:val="22"/>
        </w:rPr>
      </w:pPr>
      <w:r w:rsidRPr="009550B8">
        <w:rPr>
          <w:bCs/>
          <w:i/>
          <w:color w:val="auto"/>
          <w:sz w:val="20"/>
          <w:szCs w:val="22"/>
        </w:rPr>
        <w:t xml:space="preserve">(c) </w:t>
      </w:r>
      <w:r w:rsidR="007764D8" w:rsidRPr="009550B8">
        <w:rPr>
          <w:bCs/>
          <w:i/>
          <w:color w:val="auto"/>
          <w:sz w:val="20"/>
          <w:szCs w:val="22"/>
        </w:rPr>
        <w:tab/>
      </w:r>
      <w:proofErr w:type="gramStart"/>
      <w:r w:rsidRPr="009550B8">
        <w:rPr>
          <w:bCs/>
          <w:i/>
          <w:color w:val="auto"/>
          <w:sz w:val="20"/>
          <w:szCs w:val="22"/>
        </w:rPr>
        <w:t>take</w:t>
      </w:r>
      <w:proofErr w:type="gramEnd"/>
      <w:r w:rsidRPr="009550B8">
        <w:rPr>
          <w:bCs/>
          <w:i/>
          <w:color w:val="auto"/>
          <w:sz w:val="20"/>
          <w:szCs w:val="22"/>
        </w:rPr>
        <w:t xml:space="preserve"> all reasonable measures to ensure that the seafood does not become contaminated.</w:t>
      </w:r>
    </w:p>
    <w:p w14:paraId="5C0849C2" w14:textId="77777777" w:rsidR="001E26FC" w:rsidRPr="00654881" w:rsidRDefault="001E26FC" w:rsidP="001E26FC">
      <w:pPr>
        <w:pStyle w:val="Default"/>
        <w:rPr>
          <w:b/>
          <w:bCs/>
          <w:color w:val="auto"/>
          <w:sz w:val="22"/>
          <w:szCs w:val="22"/>
        </w:rPr>
      </w:pPr>
    </w:p>
    <w:p w14:paraId="0A4BFBE5" w14:textId="560AA83A" w:rsidR="001E26FC" w:rsidRPr="00654881" w:rsidRDefault="001E26FC" w:rsidP="001E26FC">
      <w:pPr>
        <w:pStyle w:val="Default"/>
        <w:rPr>
          <w:b/>
          <w:bCs/>
          <w:color w:val="auto"/>
          <w:sz w:val="22"/>
          <w:szCs w:val="22"/>
        </w:rPr>
      </w:pPr>
      <w:r>
        <w:rPr>
          <w:color w:val="auto"/>
          <w:sz w:val="22"/>
          <w:szCs w:val="22"/>
        </w:rPr>
        <w:t>A detailed guide to Standard 4.2.1, Safe Seafood Australia: A guide to the Australian Primary Production and Processing Standard for Seafood is available through the FSANZ website</w:t>
      </w:r>
      <w:r w:rsidR="007764D8">
        <w:rPr>
          <w:rStyle w:val="FootnoteReference"/>
          <w:color w:val="auto"/>
          <w:sz w:val="22"/>
          <w:szCs w:val="22"/>
        </w:rPr>
        <w:footnoteReference w:id="2"/>
      </w:r>
      <w:r>
        <w:rPr>
          <w:color w:val="auto"/>
          <w:sz w:val="22"/>
          <w:szCs w:val="22"/>
        </w:rPr>
        <w:t xml:space="preserve">. </w:t>
      </w:r>
    </w:p>
    <w:p w14:paraId="200B2D3A" w14:textId="77777777" w:rsidR="001E26FC" w:rsidRDefault="001E26FC" w:rsidP="001E26FC">
      <w:pPr>
        <w:pStyle w:val="Heading2"/>
      </w:pPr>
      <w:r>
        <w:t xml:space="preserve">References </w:t>
      </w:r>
    </w:p>
    <w:p w14:paraId="3510E481" w14:textId="77777777" w:rsidR="001E26FC" w:rsidRPr="00EC65E9" w:rsidRDefault="001E26FC" w:rsidP="001E26FC">
      <w:proofErr w:type="gramStart"/>
      <w:r>
        <w:rPr>
          <w:sz w:val="20"/>
          <w:szCs w:val="20"/>
        </w:rPr>
        <w:t>WHO (2011) World Health Organization’s Guidelines for Drinking Water Quality 2011.</w:t>
      </w:r>
      <w:proofErr w:type="gramEnd"/>
      <w:r>
        <w:rPr>
          <w:sz w:val="20"/>
          <w:szCs w:val="20"/>
        </w:rPr>
        <w:t xml:space="preserve"> Annex 3 (Chemical Summary Tables). Table A3.3 Guideline values for chemicals that are of health significance in drinking-water.</w:t>
      </w:r>
    </w:p>
    <w:p w14:paraId="641AF091" w14:textId="77777777" w:rsidR="00D60568" w:rsidRPr="00E203C2" w:rsidRDefault="00D60568" w:rsidP="00690206">
      <w:bookmarkStart w:id="0" w:name="_GoBack"/>
      <w:bookmarkEnd w:id="0"/>
    </w:p>
    <w:sectPr w:rsidR="00D60568"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1CC4B" w14:textId="77777777" w:rsidR="001A4AD0" w:rsidRDefault="001A4AD0">
      <w:r>
        <w:separator/>
      </w:r>
    </w:p>
  </w:endnote>
  <w:endnote w:type="continuationSeparator" w:id="0">
    <w:p w14:paraId="704D51B9" w14:textId="77777777" w:rsidR="001A4AD0" w:rsidRDefault="001A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270B5"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0AC085" w14:textId="77777777"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B7FC2"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0B8">
      <w:rPr>
        <w:rStyle w:val="PageNumber"/>
        <w:noProof/>
      </w:rPr>
      <w:t>2</w:t>
    </w:r>
    <w:r>
      <w:rPr>
        <w:rStyle w:val="PageNumber"/>
      </w:rPr>
      <w:fldChar w:fldCharType="end"/>
    </w:r>
  </w:p>
  <w:p w14:paraId="5A61299D" w14:textId="77777777" w:rsidR="0006473A" w:rsidRDefault="0006473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4AD6A" w14:textId="77777777" w:rsidR="001A4AD0" w:rsidRDefault="001A4AD0">
      <w:r>
        <w:separator/>
      </w:r>
    </w:p>
  </w:footnote>
  <w:footnote w:type="continuationSeparator" w:id="0">
    <w:p w14:paraId="63E77483" w14:textId="77777777" w:rsidR="001A4AD0" w:rsidRDefault="001A4AD0">
      <w:r>
        <w:continuationSeparator/>
      </w:r>
    </w:p>
  </w:footnote>
  <w:footnote w:id="1">
    <w:p w14:paraId="1E47CD5F" w14:textId="146F96A4" w:rsidR="001E26FC" w:rsidRPr="00B841AA" w:rsidRDefault="001E26FC" w:rsidP="001E26FC">
      <w:pPr>
        <w:pStyle w:val="FootnoteText"/>
        <w:rPr>
          <w:lang w:val="en-AU"/>
        </w:rPr>
      </w:pPr>
      <w:r w:rsidRPr="00822FAC">
        <w:rPr>
          <w:rStyle w:val="FootnoteReference"/>
          <w:sz w:val="18"/>
        </w:rPr>
        <w:footnoteRef/>
      </w:r>
      <w:r w:rsidRPr="00822FAC">
        <w:rPr>
          <w:sz w:val="18"/>
        </w:rPr>
        <w:t xml:space="preserve"> </w:t>
      </w:r>
      <w:hyperlink r:id="rId1" w:history="1">
        <w:r w:rsidRPr="00822FAC">
          <w:rPr>
            <w:rStyle w:val="Hyperlink"/>
            <w:sz w:val="18"/>
          </w:rPr>
          <w:t>http://www.foodstandards.gov.au/publications/Pages/safefoodaustralia2nd519.aspx</w:t>
        </w:r>
      </w:hyperlink>
    </w:p>
  </w:footnote>
  <w:footnote w:id="2">
    <w:p w14:paraId="4EB840D1" w14:textId="0FAA28D4" w:rsidR="007764D8" w:rsidRPr="00822FAC" w:rsidRDefault="007764D8">
      <w:pPr>
        <w:pStyle w:val="FootnoteText"/>
        <w:rPr>
          <w:sz w:val="18"/>
          <w:szCs w:val="18"/>
          <w:lang w:val="en-AU"/>
        </w:rPr>
      </w:pPr>
      <w:r w:rsidRPr="00822FAC">
        <w:rPr>
          <w:rStyle w:val="FootnoteReference"/>
          <w:sz w:val="18"/>
          <w:szCs w:val="18"/>
        </w:rPr>
        <w:footnoteRef/>
      </w:r>
      <w:hyperlink r:id="rId2" w:history="1">
        <w:r w:rsidRPr="00822FAC">
          <w:rPr>
            <w:rStyle w:val="Hyperlink"/>
            <w:bCs/>
            <w:sz w:val="18"/>
            <w:szCs w:val="18"/>
          </w:rPr>
          <w:t>http://www.foodstandards.gov.au/code/primaryproduction/seafood/documents/Safe_Seafood_Aust_with_cover.pdf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9019" w14:textId="77777777"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6A0C131A"/>
    <w:multiLevelType w:val="hybridMultilevel"/>
    <w:tmpl w:val="2CA4192C"/>
    <w:lvl w:ilvl="0" w:tplc="2EF6D85A">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49A8"/>
    <w:rsid w:val="00035FF3"/>
    <w:rsid w:val="00051021"/>
    <w:rsid w:val="00051ED9"/>
    <w:rsid w:val="00057181"/>
    <w:rsid w:val="0006473A"/>
    <w:rsid w:val="00064B2D"/>
    <w:rsid w:val="00065F1F"/>
    <w:rsid w:val="00076D33"/>
    <w:rsid w:val="00092CDA"/>
    <w:rsid w:val="000A27E9"/>
    <w:rsid w:val="000A3D8B"/>
    <w:rsid w:val="000A5DF8"/>
    <w:rsid w:val="000B33D3"/>
    <w:rsid w:val="000B6AF2"/>
    <w:rsid w:val="000D6FD4"/>
    <w:rsid w:val="000E0AE4"/>
    <w:rsid w:val="000E3DBC"/>
    <w:rsid w:val="00113827"/>
    <w:rsid w:val="00113CE3"/>
    <w:rsid w:val="00117522"/>
    <w:rsid w:val="001542D8"/>
    <w:rsid w:val="00180C41"/>
    <w:rsid w:val="00182C4C"/>
    <w:rsid w:val="00197D8D"/>
    <w:rsid w:val="001A1A75"/>
    <w:rsid w:val="001A4AD0"/>
    <w:rsid w:val="001A7E9A"/>
    <w:rsid w:val="001C27A3"/>
    <w:rsid w:val="001C5295"/>
    <w:rsid w:val="001E09FA"/>
    <w:rsid w:val="001E26FC"/>
    <w:rsid w:val="00203540"/>
    <w:rsid w:val="0021612B"/>
    <w:rsid w:val="00216675"/>
    <w:rsid w:val="0022083A"/>
    <w:rsid w:val="00221D07"/>
    <w:rsid w:val="00227E4A"/>
    <w:rsid w:val="0024582E"/>
    <w:rsid w:val="00245C56"/>
    <w:rsid w:val="002547EF"/>
    <w:rsid w:val="00256D65"/>
    <w:rsid w:val="00271F00"/>
    <w:rsid w:val="00273A80"/>
    <w:rsid w:val="0029204E"/>
    <w:rsid w:val="0029631C"/>
    <w:rsid w:val="002A0194"/>
    <w:rsid w:val="002A331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207D8"/>
    <w:rsid w:val="0053464E"/>
    <w:rsid w:val="0054272D"/>
    <w:rsid w:val="00562917"/>
    <w:rsid w:val="00586228"/>
    <w:rsid w:val="005A1D97"/>
    <w:rsid w:val="005A58F3"/>
    <w:rsid w:val="005B6AF4"/>
    <w:rsid w:val="005B7A73"/>
    <w:rsid w:val="005C04CB"/>
    <w:rsid w:val="005D045E"/>
    <w:rsid w:val="005D16AD"/>
    <w:rsid w:val="005D72E1"/>
    <w:rsid w:val="005E6E16"/>
    <w:rsid w:val="005F400E"/>
    <w:rsid w:val="005F7342"/>
    <w:rsid w:val="00603A08"/>
    <w:rsid w:val="00610A3C"/>
    <w:rsid w:val="00627F48"/>
    <w:rsid w:val="00630C23"/>
    <w:rsid w:val="00644F05"/>
    <w:rsid w:val="006460AB"/>
    <w:rsid w:val="00663FCF"/>
    <w:rsid w:val="006652A2"/>
    <w:rsid w:val="00690206"/>
    <w:rsid w:val="006937FF"/>
    <w:rsid w:val="006A48A7"/>
    <w:rsid w:val="006B4BA1"/>
    <w:rsid w:val="006B5EBE"/>
    <w:rsid w:val="006C5CF5"/>
    <w:rsid w:val="006E5A8B"/>
    <w:rsid w:val="006F4A82"/>
    <w:rsid w:val="0070373B"/>
    <w:rsid w:val="00724FA4"/>
    <w:rsid w:val="00730800"/>
    <w:rsid w:val="007602AA"/>
    <w:rsid w:val="007652EF"/>
    <w:rsid w:val="00772BDC"/>
    <w:rsid w:val="007764D8"/>
    <w:rsid w:val="00780792"/>
    <w:rsid w:val="00796562"/>
    <w:rsid w:val="007A44B4"/>
    <w:rsid w:val="007A7D3D"/>
    <w:rsid w:val="007B225D"/>
    <w:rsid w:val="007B7828"/>
    <w:rsid w:val="007C174F"/>
    <w:rsid w:val="007C1C64"/>
    <w:rsid w:val="007D03EA"/>
    <w:rsid w:val="007E48BC"/>
    <w:rsid w:val="007E79F7"/>
    <w:rsid w:val="007F3630"/>
    <w:rsid w:val="00807559"/>
    <w:rsid w:val="00822FAC"/>
    <w:rsid w:val="008450BC"/>
    <w:rsid w:val="0085334B"/>
    <w:rsid w:val="008550F3"/>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550B8"/>
    <w:rsid w:val="0096523B"/>
    <w:rsid w:val="00966EE3"/>
    <w:rsid w:val="00972D06"/>
    <w:rsid w:val="009A391C"/>
    <w:rsid w:val="009A50F2"/>
    <w:rsid w:val="009E0A61"/>
    <w:rsid w:val="009E3010"/>
    <w:rsid w:val="009F007E"/>
    <w:rsid w:val="009F7065"/>
    <w:rsid w:val="00A4175D"/>
    <w:rsid w:val="00A56DC7"/>
    <w:rsid w:val="00A74FD1"/>
    <w:rsid w:val="00A77BFA"/>
    <w:rsid w:val="00A84A58"/>
    <w:rsid w:val="00AF06FC"/>
    <w:rsid w:val="00AF3391"/>
    <w:rsid w:val="00AF387F"/>
    <w:rsid w:val="00B00E7F"/>
    <w:rsid w:val="00B12F1E"/>
    <w:rsid w:val="00B173DA"/>
    <w:rsid w:val="00B21DCC"/>
    <w:rsid w:val="00B25F37"/>
    <w:rsid w:val="00B37BF0"/>
    <w:rsid w:val="00B44422"/>
    <w:rsid w:val="00B46EA0"/>
    <w:rsid w:val="00B731D3"/>
    <w:rsid w:val="00B839A3"/>
    <w:rsid w:val="00B902BD"/>
    <w:rsid w:val="00BA24E2"/>
    <w:rsid w:val="00BD2A39"/>
    <w:rsid w:val="00BD2E80"/>
    <w:rsid w:val="00BE11B8"/>
    <w:rsid w:val="00BF7FF0"/>
    <w:rsid w:val="00C057F4"/>
    <w:rsid w:val="00C12502"/>
    <w:rsid w:val="00C36578"/>
    <w:rsid w:val="00C40AA5"/>
    <w:rsid w:val="00C46F70"/>
    <w:rsid w:val="00C476D0"/>
    <w:rsid w:val="00C61AC1"/>
    <w:rsid w:val="00C836E3"/>
    <w:rsid w:val="00C83F13"/>
    <w:rsid w:val="00C86577"/>
    <w:rsid w:val="00C92E07"/>
    <w:rsid w:val="00C96868"/>
    <w:rsid w:val="00CA0416"/>
    <w:rsid w:val="00CC560B"/>
    <w:rsid w:val="00CC75E2"/>
    <w:rsid w:val="00CD46EB"/>
    <w:rsid w:val="00CD4849"/>
    <w:rsid w:val="00CD7EBF"/>
    <w:rsid w:val="00D056F1"/>
    <w:rsid w:val="00D11171"/>
    <w:rsid w:val="00D22F3C"/>
    <w:rsid w:val="00D23DB6"/>
    <w:rsid w:val="00D40C77"/>
    <w:rsid w:val="00D43FE6"/>
    <w:rsid w:val="00D51A95"/>
    <w:rsid w:val="00D60568"/>
    <w:rsid w:val="00D70C7A"/>
    <w:rsid w:val="00D81D38"/>
    <w:rsid w:val="00D9620E"/>
    <w:rsid w:val="00DA10A8"/>
    <w:rsid w:val="00DB1E08"/>
    <w:rsid w:val="00DB1F9E"/>
    <w:rsid w:val="00DB2973"/>
    <w:rsid w:val="00DC1B56"/>
    <w:rsid w:val="00DC2129"/>
    <w:rsid w:val="00DC6570"/>
    <w:rsid w:val="00DD3C5E"/>
    <w:rsid w:val="00DE6B2E"/>
    <w:rsid w:val="00DF25C3"/>
    <w:rsid w:val="00E04062"/>
    <w:rsid w:val="00E063C6"/>
    <w:rsid w:val="00E066BA"/>
    <w:rsid w:val="00E2003B"/>
    <w:rsid w:val="00E203C2"/>
    <w:rsid w:val="00E2417E"/>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B7512"/>
    <w:rsid w:val="00FD7547"/>
    <w:rsid w:val="00FE0C5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0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216675"/>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216675"/>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16675"/>
    <w:pPr>
      <w:keepNext/>
      <w:widowControl/>
      <w:spacing w:before="240" w:after="240"/>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216675"/>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216675"/>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16675"/>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216675"/>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216675"/>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216675"/>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216675"/>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1E26FC"/>
    <w:rPr>
      <w:rFonts w:ascii="Arial" w:hAnsi="Arial"/>
      <w:lang w:eastAsia="en-US" w:bidi="en-US"/>
    </w:rPr>
  </w:style>
  <w:style w:type="paragraph" w:customStyle="1" w:styleId="Default">
    <w:name w:val="Default"/>
    <w:rsid w:val="001E26FC"/>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
    <w:rsid w:val="00216675"/>
    <w:rPr>
      <w:b/>
      <w:bCs/>
    </w:rPr>
  </w:style>
  <w:style w:type="character" w:customStyle="1" w:styleId="CommentSubjectChar">
    <w:name w:val="Comment Subject Char"/>
    <w:basedOn w:val="CommentTextChar"/>
    <w:link w:val="CommentSubject"/>
    <w:rsid w:val="00216675"/>
    <w:rPr>
      <w:rFonts w:ascii="Arial" w:hAnsi="Arial"/>
      <w:b/>
      <w:bCs/>
      <w:lang w:eastAsia="en-US" w:bidi="en-US"/>
    </w:rPr>
  </w:style>
  <w:style w:type="paragraph" w:styleId="Revision">
    <w:name w:val="Revision"/>
    <w:hidden/>
    <w:uiPriority w:val="99"/>
    <w:semiHidden/>
    <w:rsid w:val="00216675"/>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216675"/>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216675"/>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216675"/>
    <w:pPr>
      <w:keepNext/>
      <w:widowControl/>
      <w:spacing w:before="240" w:after="240"/>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216675"/>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216675"/>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216675"/>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216675"/>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216675"/>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216675"/>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216675"/>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1E26FC"/>
    <w:rPr>
      <w:rFonts w:ascii="Arial" w:hAnsi="Arial"/>
      <w:lang w:eastAsia="en-US" w:bidi="en-US"/>
    </w:rPr>
  </w:style>
  <w:style w:type="paragraph" w:customStyle="1" w:styleId="Default">
    <w:name w:val="Default"/>
    <w:rsid w:val="001E26FC"/>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
    <w:rsid w:val="00216675"/>
    <w:rPr>
      <w:b/>
      <w:bCs/>
    </w:rPr>
  </w:style>
  <w:style w:type="character" w:customStyle="1" w:styleId="CommentSubjectChar">
    <w:name w:val="Comment Subject Char"/>
    <w:basedOn w:val="CommentTextChar"/>
    <w:link w:val="CommentSubject"/>
    <w:rsid w:val="00216675"/>
    <w:rPr>
      <w:rFonts w:ascii="Arial" w:hAnsi="Arial"/>
      <w:b/>
      <w:bCs/>
      <w:lang w:eastAsia="en-US" w:bidi="en-US"/>
    </w:rPr>
  </w:style>
  <w:style w:type="paragraph" w:styleId="Revision">
    <w:name w:val="Revision"/>
    <w:hidden/>
    <w:uiPriority w:val="99"/>
    <w:semiHidden/>
    <w:rsid w:val="0021667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imaryproduction/seafood/documents/Safe_Seafood_Aust_with_cover.pdf" TargetMode="External"/><Relationship Id="rId1" Type="http://schemas.openxmlformats.org/officeDocument/2006/relationships/hyperlink" Target="http://www.foodstandards.gov.au/publications/Pages/safefoodaustralia2nd51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X3VAMR3A5FUY-552-4217</_dlc_DocId>
    <_dlc_DocIdUrl xmlns="ff5de93e-c5e8-4efc-a1bd-21450292fcfe">
      <Url>http://teams/Sections/RAP/_layouts/15/DocIdRedir.aspx?ID=X3VAMR3A5FUY-552-4217</Url>
      <Description>X3VAMR3A5FUY-552-4217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BCC7F-5B16-4B71-A33A-416D95AF1F87}"/>
</file>

<file path=customXml/itemProps2.xml><?xml version="1.0" encoding="utf-8"?>
<ds:datastoreItem xmlns:ds="http://schemas.openxmlformats.org/officeDocument/2006/customXml" ds:itemID="{90163BE0-1F65-45AA-AE07-9B74368778D0}"/>
</file>

<file path=customXml/itemProps3.xml><?xml version="1.0" encoding="utf-8"?>
<ds:datastoreItem xmlns:ds="http://schemas.openxmlformats.org/officeDocument/2006/customXml" ds:itemID="{D203A334-2393-4CA6-BB1A-72AFB7334570}"/>
</file>

<file path=customXml/itemProps4.xml><?xml version="1.0" encoding="utf-8"?>
<ds:datastoreItem xmlns:ds="http://schemas.openxmlformats.org/officeDocument/2006/customXml" ds:itemID="{9DFBCC7F-5B16-4B71-A33A-416D95AF1F87}"/>
</file>

<file path=customXml/itemProps5.xml><?xml version="1.0" encoding="utf-8"?>
<ds:datastoreItem xmlns:ds="http://schemas.openxmlformats.org/officeDocument/2006/customXml" ds:itemID="{9865B0D9-9EFB-41C8-8B0F-CCD0009384A8}"/>
</file>

<file path=customXml/itemProps6.xml><?xml version="1.0" encoding="utf-8"?>
<ds:datastoreItem xmlns:ds="http://schemas.openxmlformats.org/officeDocument/2006/customXml" ds:itemID="{47385434-7A0F-494E-957A-01E5BF8D3A5F}"/>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4278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butowb</dc:creator>
  <cp:lastModifiedBy>humphc</cp:lastModifiedBy>
  <cp:revision>5</cp:revision>
  <cp:lastPrinted>2011-08-22T03:30:00Z</cp:lastPrinted>
  <dcterms:created xsi:type="dcterms:W3CDTF">2016-06-01T06:24:00Z</dcterms:created>
  <dcterms:modified xsi:type="dcterms:W3CDTF">2016-06-07T23:23:00Z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a4601ac5-ed41-428d-a135-8a5bb39ca1ff</vt:lpwstr>
  </property>
</Properties>
</file>